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32" w:rsidRPr="007E5832" w:rsidRDefault="007E5832" w:rsidP="007E5832">
      <w:pPr>
        <w:tabs>
          <w:tab w:val="left" w:pos="567"/>
        </w:tabs>
        <w:spacing w:before="100" w:beforeAutospacing="1" w:after="100" w:afterAutospacing="1" w:line="240" w:lineRule="auto"/>
        <w:ind w:left="1134" w:hanging="1134"/>
        <w:jc w:val="center"/>
        <w:rPr>
          <w:rFonts w:ascii="Phetsarath OT" w:eastAsia="Times New Roman" w:hAnsi="Phetsarath OT"/>
          <w:szCs w:val="24"/>
        </w:rPr>
      </w:pPr>
      <w:r w:rsidRPr="007E5832">
        <w:rPr>
          <w:rFonts w:ascii="Phetsarath OT" w:eastAsia="Phetsarath OT" w:hAnsi="Phetsarath OT"/>
          <w:b/>
          <w:bCs/>
          <w:szCs w:val="24"/>
          <w:cs/>
          <w:lang w:val="en-GB" w:bidi="lo-LA"/>
        </w:rPr>
        <w:t>ທລຍ ເສີມສ້າງຄວາມເຂັ້ມແຂງໃຫ້ແກ່ພະນັກງານ</w:t>
      </w:r>
    </w:p>
    <w:p w:rsidR="007E5832" w:rsidRPr="007E5832" w:rsidRDefault="007E5832" w:rsidP="007E5832">
      <w:pPr>
        <w:tabs>
          <w:tab w:val="left" w:pos="567"/>
        </w:tabs>
        <w:spacing w:before="100" w:beforeAutospacing="1" w:after="100" w:afterAutospacing="1" w:line="240" w:lineRule="auto"/>
        <w:ind w:left="1134" w:hanging="1134"/>
        <w:jc w:val="right"/>
        <w:rPr>
          <w:rFonts w:ascii="Phetsarath OT" w:eastAsia="Times New Roman" w:hAnsi="Phetsarath OT"/>
          <w:szCs w:val="24"/>
        </w:rPr>
      </w:pPr>
      <w:r w:rsidRPr="007E5832">
        <w:rPr>
          <w:rFonts w:ascii="Phetsarath OT" w:eastAsia="Phetsarath OT" w:hAnsi="Phetsarath OT"/>
          <w:szCs w:val="24"/>
          <w:cs/>
          <w:lang w:val="en-GB" w:bidi="lo-LA"/>
        </w:rPr>
        <w:t>ໂດຍ: ທລຍ</w:t>
      </w:r>
    </w:p>
    <w:p w:rsidR="007E5832" w:rsidRPr="007E5832" w:rsidRDefault="007E5832" w:rsidP="007E5832">
      <w:pPr>
        <w:spacing w:before="100" w:beforeAutospacing="1" w:after="100" w:afterAutospacing="1" w:line="240" w:lineRule="auto"/>
        <w:ind w:left="2160"/>
        <w:rPr>
          <w:rFonts w:ascii="Phetsarath OT" w:eastAsia="Times New Roman" w:hAnsi="Phetsarath OT"/>
          <w:szCs w:val="24"/>
        </w:rPr>
      </w:pPr>
      <w:r w:rsidRPr="007E5832">
        <w:rPr>
          <w:rFonts w:ascii="Phetsarath OT" w:eastAsia="Phetsarath OT" w:hAnsi="Phetsarath OT"/>
          <w:b/>
          <w:bCs/>
          <w:sz w:val="8"/>
          <w:szCs w:val="8"/>
          <w:lang w:val="en-GB" w:bidi="lo-LA"/>
        </w:rPr>
        <w:t> </w:t>
      </w:r>
    </w:p>
    <w:p w:rsidR="007E5832" w:rsidRPr="007E5832" w:rsidRDefault="007E5832" w:rsidP="007E5832">
      <w:pPr>
        <w:spacing w:before="100" w:beforeAutospacing="1" w:after="100" w:afterAutospacing="1" w:line="240" w:lineRule="auto"/>
        <w:ind w:firstLine="717"/>
        <w:rPr>
          <w:rFonts w:ascii="Phetsarath OT" w:eastAsia="Times New Roman" w:hAnsi="Phetsarath OT"/>
          <w:szCs w:val="24"/>
        </w:rPr>
      </w:pPr>
      <w:r w:rsidRPr="007E5832">
        <w:rPr>
          <w:rFonts w:ascii="Phetsarath OT" w:eastAsia="Phetsarath OT" w:hAnsi="Phetsarath OT"/>
          <w:szCs w:val="24"/>
          <w:cs/>
          <w:lang w:val="en-GB" w:bidi="lo-LA"/>
        </w:rPr>
        <w:t>ການເຄື່ອນໄຫວວຽກງານ ທລຍ ໄດ້ມີການປະສານສົມທົບກັບຫຼາຍພາກສ່ວນທີ່ກ່ຽວຂ້ອງໃນແຕ່ລະຂັ້ນ ແຕ່ ຂັ້ນກະຊວງຫາອົງການປົກຄອງຂັ້ນທ້ອງຖິ່ນ. ສະນັ້ນ</w:t>
      </w:r>
      <w:r w:rsidRPr="007E5832">
        <w:rPr>
          <w:rFonts w:ascii="Phetsarath OT" w:eastAsia="Phetsarath OT" w:hAnsi="Phetsarath OT"/>
          <w:szCs w:val="24"/>
          <w:lang w:val="en-GB" w:bidi="lo-LA"/>
        </w:rPr>
        <w:t xml:space="preserve">, </w:t>
      </w:r>
      <w:r w:rsidRPr="007E5832">
        <w:rPr>
          <w:rFonts w:ascii="Phetsarath OT" w:eastAsia="Phetsarath OT" w:hAnsi="Phetsarath OT"/>
          <w:szCs w:val="24"/>
          <w:cs/>
          <w:lang w:val="en-GB" w:bidi="lo-LA"/>
        </w:rPr>
        <w:t xml:space="preserve">ມີຄວາມຈໍາເປັນຕ້ອງກະກຽມເອກະສານທາງລັດຖະການໃຫ້ຖືກຕ້ອງຕາມແບບທີ່ລັດຖະບານໄດ້ກຳນົດໄວ້. ດ້ວຍເຫດຜົນດັ່ງກ່າວ ໃນວັນທີ 29 ຕຸລາ 2018  ຄະນະຊີ້ນໍາ ທລຍ ຂັ້ນສູນກາງ ຈຶ່ງໄດ້ເຊື້ອເຊີນເອົານັກສໍາມະນາກອນຈາກກະຊວງພາຍໃນ ໂດຍແມ່ນ ທ່ານ ຈຳລອງ ມະນີວົງ ຫົວໜ້າພະແນກນິຕິກຳ ກົມເອກະສານແຫ່ງຊາດ ທີ່ເປັນຊ່ຽວຊານທາງດ້ານເອກະສານທາງການ ມາຈັດການຝຶກອົບຮົມໃນຫົວຂໍ້: </w:t>
      </w:r>
      <w:r w:rsidRPr="007E5832">
        <w:rPr>
          <w:rFonts w:ascii="Phetsarath OT" w:eastAsia="Phetsarath OT" w:hAnsi="Phetsarath OT"/>
          <w:szCs w:val="24"/>
          <w:lang w:val="en-GB" w:bidi="lo-LA"/>
        </w:rPr>
        <w:t>“</w:t>
      </w:r>
      <w:r w:rsidRPr="007E5832">
        <w:rPr>
          <w:rFonts w:ascii="Phetsarath OT" w:eastAsia="Phetsarath OT" w:hAnsi="Phetsarath OT"/>
          <w:szCs w:val="24"/>
          <w:cs/>
          <w:lang w:val="en-GB" w:bidi="lo-LA"/>
        </w:rPr>
        <w:t>ການກະກຽມເອກະສານທາງການ ຕາມດຳລັດ 239/ລບ</w:t>
      </w:r>
      <w:r w:rsidRPr="007E5832">
        <w:rPr>
          <w:rFonts w:ascii="Phetsarath OT" w:eastAsia="Phetsarath OT" w:hAnsi="Phetsarath OT"/>
          <w:szCs w:val="24"/>
          <w:lang w:val="en-GB" w:bidi="lo-LA"/>
        </w:rPr>
        <w:t>”</w:t>
      </w:r>
      <w:r w:rsidRPr="007E5832">
        <w:rPr>
          <w:rFonts w:ascii="Phetsarath OT" w:eastAsia="Phetsarath OT" w:hAnsi="Phetsarath OT"/>
          <w:szCs w:val="24"/>
          <w:cs/>
          <w:lang w:val="en-GB" w:bidi="lo-LA"/>
        </w:rPr>
        <w:t xml:space="preserve">. </w:t>
      </w:r>
      <w:bookmarkStart w:id="0" w:name="_GoBack"/>
      <w:bookmarkEnd w:id="0"/>
      <w:r w:rsidRPr="007E5832">
        <w:rPr>
          <w:rFonts w:ascii="Phetsarath OT" w:eastAsia="Phetsarath OT" w:hAnsi="Phetsarath OT"/>
          <w:szCs w:val="24"/>
          <w:cs/>
          <w:lang w:val="en-GB" w:bidi="lo-LA"/>
        </w:rPr>
        <w:t>ການຝຶກອົບຮົມໄດ້ດໍາເນີນທັງດ້ານທິດສະດີ ແລະ ການປະຕິບັດຕົວຈິງ ທີ່ຫ້ອງປະຊຸມກອງທຶນຫຼຸດຜ່ອນຄວາມທຸກຍາກຂັ້ນສູນກາງ</w:t>
      </w:r>
      <w:r w:rsidRPr="007E5832">
        <w:rPr>
          <w:rFonts w:ascii="Phetsarath OT" w:eastAsia="Phetsarath OT" w:hAnsi="Phetsarath OT"/>
          <w:szCs w:val="24"/>
          <w:cs/>
          <w:lang w:bidi="lo-LA"/>
        </w:rPr>
        <w:t xml:space="preserve"> </w:t>
      </w:r>
      <w:r w:rsidRPr="007E5832">
        <w:rPr>
          <w:rFonts w:ascii="Phetsarath OT" w:eastAsia="Phetsarath OT" w:hAnsi="Phetsarath OT"/>
          <w:szCs w:val="24"/>
          <w:cs/>
          <w:lang w:val="en-GB" w:bidi="lo-LA"/>
        </w:rPr>
        <w:t xml:space="preserve">ໂດຍມີຜູ້ເຂົ້າຮ່ວມຈາກຫ້ອງການກອງທຶນຫຼຸດຜ່ອນຄວາມທຸກຍາກຂັ້ນສູນກາງ ທັງໜົດ 16 ຄົນ ຍິງ 06 ຄົນ. </w:t>
      </w:r>
    </w:p>
    <w:p w:rsidR="007E5832" w:rsidRPr="007E5832" w:rsidRDefault="007E5832" w:rsidP="007E5832">
      <w:pPr>
        <w:spacing w:before="100" w:beforeAutospacing="1" w:after="100" w:afterAutospacing="1" w:line="240" w:lineRule="auto"/>
        <w:ind w:firstLine="567"/>
        <w:rPr>
          <w:rFonts w:ascii="Phetsarath OT" w:eastAsia="Times New Roman" w:hAnsi="Phetsarath OT"/>
          <w:szCs w:val="24"/>
        </w:rPr>
      </w:pPr>
      <w:r w:rsidRPr="007E5832">
        <w:rPr>
          <w:rFonts w:ascii="Phetsarath OT" w:eastAsia="Phetsarath OT" w:hAnsi="Phetsarath OT"/>
          <w:szCs w:val="24"/>
          <w:cs/>
          <w:lang w:val="en-GB" w:bidi="lo-LA"/>
        </w:rPr>
        <w:t>ການຝຶກອົບຮົມ ໄດ້ແນະນໍາຮູບແບບ ແລະ ວິທີໃນການກະກຽມເອກະສານຕ່າງໆທາງລັດຖະການ ໃຫ້ກັບຜູ້ເຂົ້າຮ່ວມ ໃຫ້ມີຄວາມເຂົ້າໃຈ ແລະ ນໍາໃຊ້ໃຫ້ຖືກຕ້ອງຕາມແບບຟອມຂອງປະເພດເອກະສານບໍລິຫານທາງລັດຖະການ ທີ່ນຳໃຊ້ໃນວຽກງານທາງການຂອງອົງການຈັດຕັ້ງຂອງລັດ ປະກອບດ້ວຍ: ໜັງສືສະເໜີ</w:t>
      </w:r>
      <w:r w:rsidRPr="007E5832">
        <w:rPr>
          <w:rFonts w:ascii="Phetsarath OT" w:eastAsia="Phetsarath OT" w:hAnsi="Phetsarath OT"/>
          <w:szCs w:val="24"/>
          <w:lang w:val="en-GB" w:bidi="lo-LA"/>
        </w:rPr>
        <w:t>,</w:t>
      </w:r>
      <w:r w:rsidRPr="007E5832">
        <w:rPr>
          <w:rFonts w:ascii="Phetsarath OT" w:eastAsia="Phetsarath OT" w:hAnsi="Phetsarath OT"/>
          <w:szCs w:val="24"/>
          <w:cs/>
          <w:lang w:val="en-GB" w:bidi="lo-LA"/>
        </w:rPr>
        <w:t xml:space="preserve"> ໜັງສືແຈ້ງຕອບ</w:t>
      </w:r>
      <w:r w:rsidRPr="007E5832">
        <w:rPr>
          <w:rFonts w:ascii="Phetsarath OT" w:eastAsia="Phetsarath OT" w:hAnsi="Phetsarath OT"/>
          <w:szCs w:val="24"/>
          <w:lang w:val="en-GB" w:bidi="lo-LA"/>
        </w:rPr>
        <w:t xml:space="preserve">, </w:t>
      </w:r>
      <w:r w:rsidRPr="007E5832">
        <w:rPr>
          <w:rFonts w:ascii="Phetsarath OT" w:eastAsia="Phetsarath OT" w:hAnsi="Phetsarath OT"/>
          <w:szCs w:val="24"/>
          <w:cs/>
          <w:lang w:val="en-GB" w:bidi="lo-LA"/>
        </w:rPr>
        <w:t>ໃບມອບສິດ</w:t>
      </w:r>
      <w:r w:rsidRPr="007E5832">
        <w:rPr>
          <w:rFonts w:ascii="Phetsarath OT" w:eastAsia="Phetsarath OT" w:hAnsi="Phetsarath OT"/>
          <w:szCs w:val="24"/>
          <w:lang w:val="en-GB" w:bidi="lo-LA"/>
        </w:rPr>
        <w:t xml:space="preserve">, </w:t>
      </w:r>
      <w:r w:rsidRPr="007E5832">
        <w:rPr>
          <w:rFonts w:ascii="Phetsarath OT" w:eastAsia="Phetsarath OT" w:hAnsi="Phetsarath OT"/>
          <w:szCs w:val="24"/>
          <w:cs/>
          <w:lang w:val="en-GB" w:bidi="lo-LA"/>
        </w:rPr>
        <w:t>ໜັງສືເຊີນ</w:t>
      </w:r>
      <w:r w:rsidRPr="007E5832">
        <w:rPr>
          <w:rFonts w:ascii="Phetsarath OT" w:eastAsia="Phetsarath OT" w:hAnsi="Phetsarath OT"/>
          <w:szCs w:val="24"/>
          <w:lang w:val="en-GB" w:bidi="lo-LA"/>
        </w:rPr>
        <w:t xml:space="preserve">, </w:t>
      </w:r>
      <w:r w:rsidRPr="007E5832">
        <w:rPr>
          <w:rFonts w:ascii="Phetsarath OT" w:eastAsia="Phetsarath OT" w:hAnsi="Phetsarath OT"/>
          <w:szCs w:val="24"/>
          <w:cs/>
          <w:lang w:val="en-GB" w:bidi="lo-LA"/>
        </w:rPr>
        <w:t>ຂໍ້ຕົກລົງ</w:t>
      </w:r>
      <w:r w:rsidRPr="007E5832">
        <w:rPr>
          <w:rFonts w:ascii="Phetsarath OT" w:eastAsia="Phetsarath OT" w:hAnsi="Phetsarath OT"/>
          <w:szCs w:val="24"/>
          <w:lang w:val="en-GB" w:bidi="lo-LA"/>
        </w:rPr>
        <w:t xml:space="preserve">, </w:t>
      </w:r>
      <w:r w:rsidRPr="007E5832">
        <w:rPr>
          <w:rFonts w:ascii="Phetsarath OT" w:eastAsia="Phetsarath OT" w:hAnsi="Phetsarath OT"/>
          <w:szCs w:val="24"/>
          <w:cs/>
          <w:lang w:val="en-GB" w:bidi="lo-LA"/>
        </w:rPr>
        <w:t>ແຈ້ງການ</w:t>
      </w:r>
      <w:r w:rsidRPr="007E5832">
        <w:rPr>
          <w:rFonts w:ascii="Phetsarath OT" w:eastAsia="Phetsarath OT" w:hAnsi="Phetsarath OT"/>
          <w:szCs w:val="24"/>
          <w:lang w:val="en-GB" w:bidi="lo-LA"/>
        </w:rPr>
        <w:t>,</w:t>
      </w:r>
      <w:r w:rsidRPr="007E5832">
        <w:rPr>
          <w:rFonts w:ascii="Phetsarath OT" w:eastAsia="Phetsarath OT" w:hAnsi="Phetsarath OT"/>
          <w:szCs w:val="24"/>
          <w:cs/>
          <w:lang w:val="en-GB" w:bidi="lo-LA"/>
        </w:rPr>
        <w:t>ໃບມອບສິດ ແລະ ອື່ນໆ ທີ່ລັດຖະບານໄດ້ວາງອອກ ແລະ ຖືກນໍາໃຊ້.</w:t>
      </w:r>
    </w:p>
    <w:p w:rsidR="007E5832" w:rsidRPr="007E5832" w:rsidRDefault="007E5832" w:rsidP="007E5832">
      <w:pPr>
        <w:spacing w:before="100" w:beforeAutospacing="1" w:after="100" w:afterAutospacing="1" w:line="240" w:lineRule="auto"/>
        <w:contextualSpacing/>
        <w:rPr>
          <w:rFonts w:ascii="Phetsarath OT" w:eastAsia="Times New Roman" w:hAnsi="Phetsarath OT"/>
          <w:szCs w:val="24"/>
        </w:rPr>
      </w:pPr>
      <w:r w:rsidRPr="007E5832">
        <w:rPr>
          <w:rFonts w:ascii="Phetsarath OT" w:eastAsia="Phetsarath OT" w:hAnsi="Phetsarath OT"/>
          <w:szCs w:val="24"/>
          <w:cs/>
          <w:lang w:bidi="lo-LA"/>
        </w:rPr>
        <w:tab/>
        <w:t>ຜ່ານການຝຶກອົບຮົມເປັນເວລາ 1 ວັນເຕີມ ໄດ້ມີຄວາມໝາຍຄວາມສໍາຄັນຫຼາຍ ເພາະພະນັກງານທຸກຄົນທີ່ເຂົ້າຮ່ວມໄດ້ເຂົ້າໃຈຢ່າງເລິກເຊິ່ງ ກ່ຽວກັບຮູບແບບການກະກຽມເອກະສານ ແລະ ຮັບປະກັນຄວາມຖືກຕ້ອງໃນຕໍ່ໜ້າ ແລະ ຈະນໍາເອົາຄວາມຮູ້ທີ່ໄດ້ຈາກການຝຶກອົບຮົມໃນເທື່ອນີ້ ໄປນໍາໃຊ້ ສູ່ວຽກງານຕົວຈິງຂອງຕົນເອງໃຫ້ມີຜົນສໍ່ເລັດສູງສຸດ ແລະ ຈະຜັນຂະຫຍາຍສູ່ພະນັກງານຂັ້ນທ້ອງຖິ່ນໃນຕໍ່ໜ້າ.</w:t>
      </w:r>
    </w:p>
    <w:p w:rsidR="00AB5C83" w:rsidRPr="007E5832" w:rsidRDefault="00AB5C83">
      <w:pPr>
        <w:rPr>
          <w:rFonts w:ascii="Phetsarath OT" w:hAnsi="Phetsarath OT"/>
          <w:lang w:bidi="lo-LA"/>
        </w:rPr>
      </w:pPr>
    </w:p>
    <w:sectPr w:rsidR="00AB5C83" w:rsidRPr="007E5832" w:rsidSect="00B22D77">
      <w:pgSz w:w="11909" w:h="16834" w:code="9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00001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32"/>
    <w:rsid w:val="007E5832"/>
    <w:rsid w:val="00AB5C83"/>
    <w:rsid w:val="00B2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2018-11-02T08:12:00Z</dcterms:created>
  <dcterms:modified xsi:type="dcterms:W3CDTF">2018-11-02T08:12:00Z</dcterms:modified>
</cp:coreProperties>
</file>